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846E" w14:textId="04AA2E88" w:rsidR="00D309AF" w:rsidRDefault="00A028BE" w:rsidP="00922983">
      <w:pPr>
        <w:tabs>
          <w:tab w:val="left" w:pos="14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</w:t>
      </w:r>
      <w:r w:rsidR="00843ACE">
        <w:t>nr 19.1</w:t>
      </w:r>
      <w:r>
        <w:t xml:space="preserve"> do umowy pożyczki</w:t>
      </w:r>
    </w:p>
    <w:p w14:paraId="1E136D32" w14:textId="77777777" w:rsidR="00E316F2" w:rsidRDefault="00E316F2" w:rsidP="00E316F2">
      <w:pPr>
        <w:pStyle w:val="Default"/>
      </w:pPr>
    </w:p>
    <w:p w14:paraId="6A50DF9E" w14:textId="533BDB09" w:rsidR="00E316F2" w:rsidRDefault="00E316F2" w:rsidP="00E316F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Karta Produktu Pożyczka Płynnościowa</w:t>
      </w:r>
    </w:p>
    <w:p w14:paraId="7C3FA968" w14:textId="77777777" w:rsidR="00E316F2" w:rsidRDefault="00E316F2" w:rsidP="00E316F2">
      <w:pPr>
        <w:pStyle w:val="Default"/>
        <w:spacing w:after="176"/>
        <w:rPr>
          <w:b/>
          <w:bCs/>
          <w:sz w:val="22"/>
          <w:szCs w:val="22"/>
        </w:rPr>
      </w:pPr>
    </w:p>
    <w:p w14:paraId="3B9FA30A" w14:textId="3A4ECDF3" w:rsidR="00E316F2" w:rsidRDefault="00E316F2" w:rsidP="00E316F2">
      <w:pPr>
        <w:pStyle w:val="Default"/>
        <w:spacing w:after="176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I. Podstawowe parametry Pożyczki Płynnościowej (dalej: Pożyczka) </w:t>
      </w:r>
    </w:p>
    <w:p w14:paraId="763E8D06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Wartość Jednostkowej Pożyczki wynosi do 250.000,00 zł. </w:t>
      </w:r>
    </w:p>
    <w:p w14:paraId="58B50994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Wkład własny Pożyczkobiorcy nie jest wymagany. </w:t>
      </w:r>
    </w:p>
    <w:p w14:paraId="343D49E9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Maksymalny termin na wypłatę całkowitej kwoty Jednostkowej Pożyczki Ostatecznemu Odbiorcy, wynosi 90 dni kalendarzowych od dnia zawarcia Umowy Inwestycyjnej. W odpowiednio uzasadnionych przypadkach, Pośrednik Finansowy może wydłużyć termin na wypłatę środków Jednostkowej Pożyczki. </w:t>
      </w:r>
    </w:p>
    <w:p w14:paraId="2E492CA3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Maksymalny okres spłaty Jednostkowej Pożyczki nie może być dłuższy niż 60 miesięcy od momentu jej uruchomienia, tj. wypłaty jakiejkolwiek kwoty Jednostkowej Pożyczki. </w:t>
      </w:r>
    </w:p>
    <w:p w14:paraId="48423D82" w14:textId="1466FADF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Maksymalna karencja w spłacie rat kapitałowo-odsetkowych Jednostkowej Pożyczki wynosi </w:t>
      </w:r>
      <w:r w:rsidR="0033637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6 miesięcy od dnia jej uruchomienia, przy czym karencja wydłuża okres spłaty Jednostkowej Pożyczki, z zastrzeżeniem pkt 4. </w:t>
      </w:r>
    </w:p>
    <w:p w14:paraId="303E8B54" w14:textId="1DCB4BCA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Raz do roku na 2 miesiące, w pierwszym i drugim roku okresu spłaty Jednostkowej Pożyczki, Pośrednik Finansowy może udzielić Ostatecznemu Odbiorcy wakacji kredytowych w spłacie rat kapitałowo-odsetkowych, przy czym okres wakacji wydłuża okres spłaty Jednostkowej Pożyczki, </w:t>
      </w:r>
      <w:r w:rsidR="00336373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z zastrzeżeniem pkt 4. </w:t>
      </w:r>
    </w:p>
    <w:p w14:paraId="6A73ECF4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II. Zasady dotyczące udzielania i udokumentowania Pożyczki Płynnościowej </w:t>
      </w:r>
    </w:p>
    <w:p w14:paraId="7C564BDE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Udzielenie Jednostkowej Pożyczki powinno umożliwić przedsiębiorcy utrzymanie bieżącej płynności i finansowanie jego bieżących potrzeb związanych z prowadzoną działalnością gospodarczą. Tymczasowa utrata płynności na skutek COVID-19 nie może stanowić przeszkody w udzieleniu Jednostkowej Pożyczki. Wniosek o Jednostkową Pożyczkę powinien zawierać elementy Biznesplanu Ostatecznego Odbiorcy, w którym określa harmonogram osiągnięcia poprawy w zakresie płynności firmy i utrzymania prowadzonej działalności gospodarczej. </w:t>
      </w:r>
    </w:p>
    <w:p w14:paraId="15A96DD3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Wydatkowanie środków Jednostkowej Pożyczki musi nastąpić w terminie do 180 dni od dnia wypłaty całkowitej kwoty Jednostkowej Pożyczki, przy czym termin 180 dni określa datę, do której mogą być wystawiane dokumenty potwierdzające wydatkowanie środków. W uzasadnionych przypadkach, na wniosek Ostatecznego Odbiorcy, Pośrednik Finansowy może zaakceptować wydłużenie tego terminu maksymalnie o kolejne 180 dni. </w:t>
      </w:r>
    </w:p>
    <w:p w14:paraId="1FE6F9F7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Dokumentem potwierdzającym wydatkowanie środków zgodnie z celem, na jaki została przyznana Jednostkowa Pożyczka jest opłacona faktura lub dokument równoważny w rozumieniu przepisów prawa krajowego, nieopłacony na dzień 1.02.2020 r.,, z uwzględnieniem specyfiki wydatku. </w:t>
      </w:r>
    </w:p>
    <w:p w14:paraId="7B10490D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Wszelka dokumentacja potwierdzająca wydatkowanie środków przez Pożyczkobiorcę powinna być, co do zasady, sporządzona w języku polskim, a w przypadku dokumentów wystawianych w języku innym niż język polski, powinna zostać przetłumaczona na język polski przez Pożyczkobiorcę lub na jego zlecenie. </w:t>
      </w:r>
    </w:p>
    <w:p w14:paraId="6751EDCD" w14:textId="0F1BC114" w:rsidR="00E316F2" w:rsidRDefault="00E316F2" w:rsidP="00E316F2">
      <w:pPr>
        <w:pStyle w:val="Default"/>
      </w:pPr>
    </w:p>
    <w:p w14:paraId="36CAE4DF" w14:textId="20BB193A" w:rsidR="003B7537" w:rsidRDefault="003B7537" w:rsidP="00E316F2">
      <w:pPr>
        <w:pStyle w:val="Default"/>
      </w:pPr>
    </w:p>
    <w:p w14:paraId="44C39438" w14:textId="1E1A137E" w:rsidR="003B7537" w:rsidRDefault="003B7537" w:rsidP="00E316F2">
      <w:pPr>
        <w:pStyle w:val="Default"/>
      </w:pPr>
    </w:p>
    <w:p w14:paraId="696A98DF" w14:textId="77777777" w:rsidR="003B7537" w:rsidRDefault="003B7537" w:rsidP="00E316F2">
      <w:pPr>
        <w:pStyle w:val="Default"/>
      </w:pPr>
    </w:p>
    <w:p w14:paraId="4D1CC370" w14:textId="77777777" w:rsidR="00E316F2" w:rsidRDefault="00E316F2" w:rsidP="00E316F2">
      <w:pPr>
        <w:pStyle w:val="Default"/>
        <w:spacing w:after="176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Przeznaczenie finansowania </w:t>
      </w:r>
    </w:p>
    <w:p w14:paraId="63828417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ramach pożyczki finansowane będą wydatki związane z utrzymaniem bieżącej działalności firmy i zapewnieniem jej płynności finansowej. </w:t>
      </w:r>
    </w:p>
    <w:p w14:paraId="21124F7B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Środki z pożyczki mogą zostać przeznaczone na wydatki bieżące, obrotowe lub inwestycyjne, w tym np.: </w:t>
      </w:r>
    </w:p>
    <w:p w14:paraId="567FF574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wynagrodzenia pracowników (w tym także składowe należne ZUS, US), </w:t>
      </w:r>
    </w:p>
    <w:p w14:paraId="05F83FD5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zobowiązania publiczno-prawne Ostatecznego Odbiorcy, </w:t>
      </w:r>
    </w:p>
    <w:p w14:paraId="1FB575F1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spłatę zobowiązań handlowych, pokrycie kosztów użytkowania infrastruktury itp., </w:t>
      </w:r>
    </w:p>
    <w:p w14:paraId="0F7A74CC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zatowarowanie, półprodukty itp., </w:t>
      </w:r>
    </w:p>
    <w:p w14:paraId="67DF6C35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wydatki niezbędne do zapewnienia ciągłości działania Odbiorcy i nieopłacone na dzień 1 lutego 2020 r. </w:t>
      </w:r>
    </w:p>
    <w:p w14:paraId="01470CA4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Pożyczka może finansować do 100% wydatków Ostatecznego Odbiorcy. </w:t>
      </w:r>
    </w:p>
    <w:p w14:paraId="1DBCABD3" w14:textId="77777777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 pożyczki finansowane są wydatki w kwotach brutto, tj. z podatkiem VAT, bez względu na to czy Ostateczny Odbiorca ma prawną możliwość odzyskania naliczonego podatku VAT. </w:t>
      </w:r>
    </w:p>
    <w:p w14:paraId="6A1872A0" w14:textId="331F2673" w:rsidR="00E316F2" w:rsidRDefault="00E316F2" w:rsidP="00336373">
      <w:pPr>
        <w:pStyle w:val="Default"/>
        <w:spacing w:after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Finansowanie z pożyczki można łączyć w ramach tego samego wydatku z innym finansowaniem, </w:t>
      </w:r>
      <w:r w:rsidR="00336373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w tym finansowaniem z EFSI w formie dotacji lub instrumentów finansowych pod warunkiem, że finansowanie w ramach wszystkich połączonych form wsparcia nie przekracza całkowitej kwoty tego wydatku oraz spełnione są wszystkie mające zastosowanie zasady dotyczące pomocy państwa. </w:t>
      </w:r>
    </w:p>
    <w:p w14:paraId="46F25993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Środki z pożyczki mogą zostać przeznaczone na wydatki bieżące, obrotowe lub inwestycyjne. </w:t>
      </w:r>
    </w:p>
    <w:p w14:paraId="578A6642" w14:textId="77777777" w:rsidR="00E316F2" w:rsidRDefault="00E316F2" w:rsidP="00336373">
      <w:pPr>
        <w:pStyle w:val="Default"/>
        <w:jc w:val="both"/>
        <w:rPr>
          <w:b/>
          <w:bCs/>
          <w:sz w:val="22"/>
          <w:szCs w:val="22"/>
        </w:rPr>
      </w:pPr>
    </w:p>
    <w:p w14:paraId="5A633EB5" w14:textId="3152FB96" w:rsidR="00E316F2" w:rsidRDefault="00E316F2" w:rsidP="00E316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IV. Wykluczenia z finansowania </w:t>
      </w:r>
    </w:p>
    <w:p w14:paraId="2C698B95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Środki z pożyczki nie mogą być przeznaczone na: </w:t>
      </w:r>
    </w:p>
    <w:p w14:paraId="681CA732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finansowanie wydatków pokrytych uprzednio ze środków EFSI, z innych funduszy, programów, środków i instrumentów Unii Europejskiej lub innych źródeł pomocy krajowej lub zagranicznej; </w:t>
      </w:r>
    </w:p>
    <w:p w14:paraId="2E4721BA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prefinansowanie wydatków, na które otrzymano dofinansowanie w formie dotacji lub pomocy zwrotnej; </w:t>
      </w:r>
    </w:p>
    <w:p w14:paraId="79E59A02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refinansowanie całości lub części wydatków, które na dzień 1 lutego 2020 r. zostały już poniesione (tj. opłacone); </w:t>
      </w:r>
    </w:p>
    <w:p w14:paraId="78523CD4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refinansowanie jakichkolwiek pożyczek, kredytów lub rat leasingowych; </w:t>
      </w:r>
    </w:p>
    <w:p w14:paraId="05F485D5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finansowanie zakupu aktywów finansowych przeznaczonych do obrotu; </w:t>
      </w:r>
    </w:p>
    <w:p w14:paraId="10BEF6C0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finansowanie zakupu nieruchomości przeznaczonych do obrotu lub stanowiące lokatę kapitału; </w:t>
      </w:r>
    </w:p>
    <w:p w14:paraId="090CEA56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14:paraId="4F869CC3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finansowanie działalności w zakresie wytwarzania, przetwórstwa lub wprowadzania do obrotu przez producenta lub importera tytoniu i wyrobów tytoniowych; </w:t>
      </w:r>
    </w:p>
    <w:p w14:paraId="7A38D587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finansowanie działalności w zakresie produkcji lub wprowadzania do obrotu przez producenta lub importera napojów alkoholowych; </w:t>
      </w:r>
    </w:p>
    <w:p w14:paraId="7164A370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10) finansowanie działalności w zakresie produkcji lub wprowadzania do obrotu przez producenta lub importera treści pornograficznych; </w:t>
      </w:r>
    </w:p>
    <w:p w14:paraId="022E55EA" w14:textId="77777777" w:rsidR="00E316F2" w:rsidRDefault="00E316F2" w:rsidP="00336373">
      <w:pPr>
        <w:pStyle w:val="Default"/>
        <w:jc w:val="both"/>
      </w:pPr>
    </w:p>
    <w:p w14:paraId="46A2A93B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finansowanie działalności w zakresie obrotu materiałami wybuchowymi, bronią i amunicją; </w:t>
      </w:r>
    </w:p>
    <w:p w14:paraId="69431141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finansowanie działalności w zakresie gier losowych, zakładów wzajemnych, gier na automatach i gier na automatach o niskich wygranych; </w:t>
      </w:r>
    </w:p>
    <w:p w14:paraId="4CF9CCC5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13) finansowanie działalności w zakresie produkcji lub wprowadzania do obrotu przez producenta lub importera środków odurzających, substancji psychotropowych lub prekursorów; </w:t>
      </w:r>
    </w:p>
    <w:p w14:paraId="26317976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14) finansowanie likwidacji lub budowy elektrowni jądrowych; </w:t>
      </w:r>
    </w:p>
    <w:p w14:paraId="530D59D1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15) finansowanie inwestycji na rzecz redukcji emisji gazów cieplarnianych pochodzących z listy działań wymienionych w załączniku I do dyrektywy 2003/87/WE; </w:t>
      </w:r>
    </w:p>
    <w:p w14:paraId="423B785F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16) finansowanie inwestycji w infrastrukturę portów lotniczych, chyba że są one związane z ochroną środowiska lub towarzyszą im inwestycje niezbędne do łagodzenia lub ograniczenia ich negatywnego oddziaływania na środowisko; </w:t>
      </w:r>
    </w:p>
    <w:p w14:paraId="7E85BF5B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17) finansowanie inwestycji w infrastrukturę instytucji opiekuńczo-pobytowych (rozumianych zgodnie z Wytycznymi w zakresie realizacji przedsięwzięć w obszarze włączenia społecznego i zwalczania ubóstwa z wykorzystaniem środków EFS i EFRR na lata 2014-2020, a w przypadku instytucji zdrowotnych – zgodnie z Policy Paper dla ochrony zdrowa na lata 2014-2020 Krajowe Strategiczne Ramy) świadczących opiekę dla osób z niepełnosprawnościami, osób z problemami psychicznymi oraz dzieci pozbawionych opieki rodzicielskiej, chyba że rozpoczęty w nich został proces przechodzenia z opieki zinstytucjonalizowanej do opieki świadczonej w społeczności lokalnej lub proces ten zostanie rozpoczęty w okresie realizacji Inwestycji. </w:t>
      </w:r>
    </w:p>
    <w:p w14:paraId="573DEE09" w14:textId="77777777" w:rsidR="00E316F2" w:rsidRDefault="00E316F2" w:rsidP="00336373">
      <w:pPr>
        <w:pStyle w:val="Default"/>
        <w:jc w:val="both"/>
        <w:rPr>
          <w:b/>
          <w:bCs/>
          <w:sz w:val="22"/>
          <w:szCs w:val="22"/>
        </w:rPr>
      </w:pPr>
    </w:p>
    <w:p w14:paraId="6C0B0702" w14:textId="7381D7BA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V.Ograniczenia w finansowaniu </w:t>
      </w:r>
    </w:p>
    <w:p w14:paraId="7E18C8CA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Finansowanie zakupu gruntów niezabudowanych i zabudowanych możliwe jest do wysokości 10 % środków Pożyczki wypłaconych na rzecz Pożyczkobiorcy. </w:t>
      </w:r>
    </w:p>
    <w:p w14:paraId="549D2ECB" w14:textId="77777777" w:rsidR="00E316F2" w:rsidRDefault="00E316F2" w:rsidP="00336373">
      <w:pPr>
        <w:pStyle w:val="Default"/>
        <w:spacing w:after="177"/>
        <w:jc w:val="both"/>
        <w:rPr>
          <w:b/>
          <w:bCs/>
          <w:sz w:val="22"/>
          <w:szCs w:val="22"/>
        </w:rPr>
      </w:pPr>
    </w:p>
    <w:p w14:paraId="17DBF156" w14:textId="7DE1A5A9" w:rsidR="00E316F2" w:rsidRDefault="00E316F2" w:rsidP="00E316F2">
      <w:pPr>
        <w:pStyle w:val="Default"/>
        <w:spacing w:after="17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VI. Zasady odpłatności za udzielenie Pożyczki Płynnościowej </w:t>
      </w:r>
    </w:p>
    <w:p w14:paraId="6BC61EC5" w14:textId="77777777" w:rsidR="00E316F2" w:rsidRDefault="00E316F2" w:rsidP="00336373">
      <w:pPr>
        <w:pStyle w:val="Default"/>
        <w:spacing w:after="1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Pożyczka oprocentowana jest: </w:t>
      </w:r>
    </w:p>
    <w:p w14:paraId="2A97640D" w14:textId="77777777" w:rsidR="00E316F2" w:rsidRDefault="00E316F2" w:rsidP="00336373">
      <w:pPr>
        <w:pStyle w:val="Default"/>
        <w:spacing w:after="1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b/>
          <w:bCs/>
          <w:sz w:val="22"/>
          <w:szCs w:val="22"/>
        </w:rPr>
        <w:t xml:space="preserve">na warunkach rynkowych, </w:t>
      </w:r>
      <w:r>
        <w:rPr>
          <w:sz w:val="22"/>
          <w:szCs w:val="22"/>
        </w:rPr>
        <w:t xml:space="preserve">według stopy referencyjnej obliczanej przy zastosowaniu stopy bazowej 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ryzyka; </w:t>
      </w:r>
    </w:p>
    <w:p w14:paraId="0CE62390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>na warunkach korzystniejszych niż rynkowe</w:t>
      </w:r>
      <w:r>
        <w:rPr>
          <w:sz w:val="22"/>
          <w:szCs w:val="22"/>
        </w:rPr>
        <w:t xml:space="preserve">, w wysokości i zgodnie z zasadami udzielania pomocy określonymi w Rozporządzeniu Ministra Funduszy i Polityki Regionalnej z dnia 14 kwietnia 2020 r. </w:t>
      </w:r>
      <w:r>
        <w:rPr>
          <w:i/>
          <w:iCs/>
          <w:sz w:val="22"/>
          <w:szCs w:val="22"/>
        </w:rPr>
        <w:t>w sprawie udzielania pomocy z instrumentów finansowych w ramach programów operacyjnych na lata 2014-2020 w celu wspierania polskiej gospodarki w związku z wystąpieniem pandemii COVID-19 j</w:t>
      </w:r>
      <w:r>
        <w:rPr>
          <w:sz w:val="22"/>
          <w:szCs w:val="22"/>
        </w:rPr>
        <w:t xml:space="preserve">eżeli odpowiednie przepisy Rozporządzenia o którym mowa powyżej stawiają dodatkowe warunki udzielenia pomocy, które są bardziej restrykcyjne w stosunku do postanowień niniejszej Metryki Instrumentu Finansowego lub Umowy Operacyjnej, zapisy Rozporządzenia mają pierwszeństwo stosowania do udzielenia danej Jednostkowej Pożyczki, a </w:t>
      </w:r>
    </w:p>
    <w:p w14:paraId="5E0276F2" w14:textId="77777777" w:rsidR="00E316F2" w:rsidRDefault="00E316F2" w:rsidP="00336373">
      <w:pPr>
        <w:pStyle w:val="Default"/>
        <w:jc w:val="both"/>
      </w:pPr>
    </w:p>
    <w:p w14:paraId="1F9A1C59" w14:textId="77777777" w:rsidR="00E316F2" w:rsidRDefault="00E316F2" w:rsidP="00336373">
      <w:pPr>
        <w:pStyle w:val="Default"/>
        <w:spacing w:after="1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Pośrednik Finansowy zobowiązany jest do ich stosowania, dotyczy to m. in. oprocentowania Jednostkowej Pożyczki. </w:t>
      </w:r>
    </w:p>
    <w:p w14:paraId="763E5486" w14:textId="66236A2C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>
        <w:rPr>
          <w:b/>
          <w:bCs/>
          <w:sz w:val="22"/>
          <w:szCs w:val="22"/>
        </w:rPr>
        <w:t xml:space="preserve">na warunkach korzystniejszych niż rynkowe </w:t>
      </w:r>
      <w:r>
        <w:rPr>
          <w:sz w:val="22"/>
          <w:szCs w:val="22"/>
        </w:rPr>
        <w:t>zgodnie z zasadami udzielania pomocy de minimis</w:t>
      </w:r>
      <w:r>
        <w:rPr>
          <w:i/>
          <w:iCs/>
          <w:sz w:val="22"/>
          <w:szCs w:val="22"/>
        </w:rPr>
        <w:t>,</w:t>
      </w:r>
      <w:r w:rsidR="00336373">
        <w:rPr>
          <w:i/>
          <w:iCs/>
          <w:sz w:val="22"/>
          <w:szCs w:val="22"/>
        </w:rPr>
        <w:t xml:space="preserve">                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o których mowa w </w:t>
      </w:r>
      <w:r>
        <w:rPr>
          <w:i/>
          <w:iCs/>
          <w:sz w:val="22"/>
          <w:szCs w:val="22"/>
        </w:rPr>
        <w:t xml:space="preserve">Rozporządzeniu Komisji (UE) nr 1407/2013 z dnia 18 grudnia 2013 r. w sprawie stosowania art. 107 i 108 Traktatu o funkcjonowaniu Unii Europejskiej do pomocy de minimis </w:t>
      </w:r>
      <w:r>
        <w:rPr>
          <w:sz w:val="22"/>
          <w:szCs w:val="22"/>
        </w:rPr>
        <w:t xml:space="preserve">oraz </w:t>
      </w:r>
      <w:r>
        <w:rPr>
          <w:i/>
          <w:iCs/>
          <w:sz w:val="22"/>
          <w:szCs w:val="22"/>
        </w:rPr>
        <w:t>Rozporządzenia Ministra Infrastruktury i Rozwoju z dnia 19 marca 2015 r. w sprawie udzielania pomocy de minimis w ramach regionalnych programów operacyjnych na lata 2014–2020 (</w:t>
      </w:r>
      <w:r>
        <w:rPr>
          <w:sz w:val="22"/>
          <w:szCs w:val="22"/>
        </w:rPr>
        <w:t xml:space="preserve">Dz.U. 2015 poz. 488 z późn. zmianami). </w:t>
      </w:r>
    </w:p>
    <w:p w14:paraId="503DA2D9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zastrzeżeniem, że możliwe będzie udzielenie innej pomocy jeśli zostaną wprowadzone dodatkowe programy pomocowe. </w:t>
      </w:r>
    </w:p>
    <w:p w14:paraId="679D3692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Oprocentowanie Jednostkowej Pożyczki udzielanej zgodnie z zasadami udzielania pomocy de minimis jest stałe w całym okresie jej obowiązywania i ustalone jest w wysokości 0%. </w:t>
      </w:r>
    </w:p>
    <w:p w14:paraId="154373C8" w14:textId="77777777" w:rsidR="00E316F2" w:rsidRDefault="00E316F2" w:rsidP="00336373">
      <w:pPr>
        <w:pStyle w:val="Default"/>
        <w:spacing w:after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przypadku niespełnienia przez Pożyczkobiorcę jakiegokolwiek z warunków umożliwiających udzielenie pomocy, finansowanie nie jest udzielane. </w:t>
      </w:r>
    </w:p>
    <w:p w14:paraId="57BD72FB" w14:textId="77777777" w:rsidR="00E316F2" w:rsidRDefault="00E316F2" w:rsidP="00336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Od środków Jednostkowej Pożyczki nie pobiera się żadnych opłat i prowizji związanych z ich udostępnieniem i obsługą. Powyższe nie dotyczy odrębnie uregulowanych czynności windykacyjnych.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81"/>
      </w:tblGrid>
      <w:tr w:rsidR="00E316F2" w14:paraId="4B6538CA" w14:textId="77777777">
        <w:trPr>
          <w:trHeight w:val="90"/>
        </w:trPr>
        <w:tc>
          <w:tcPr>
            <w:tcW w:w="1881" w:type="dxa"/>
          </w:tcPr>
          <w:p w14:paraId="19F0F149" w14:textId="6E73DDE2" w:rsidR="00E316F2" w:rsidRDefault="00E316F2" w:rsidP="0033637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316F2" w14:paraId="7A8F8B5C" w14:textId="77777777">
        <w:trPr>
          <w:trHeight w:val="90"/>
        </w:trPr>
        <w:tc>
          <w:tcPr>
            <w:tcW w:w="1881" w:type="dxa"/>
          </w:tcPr>
          <w:p w14:paraId="127A5806" w14:textId="53CA45F7" w:rsidR="00E316F2" w:rsidRDefault="00E316F2" w:rsidP="0033637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26ECB577" w14:textId="77777777" w:rsidR="00E316F2" w:rsidRDefault="00E316F2" w:rsidP="00336373">
      <w:pPr>
        <w:spacing w:after="139" w:line="259" w:lineRule="auto"/>
        <w:ind w:left="0" w:firstLine="0"/>
      </w:pPr>
    </w:p>
    <w:p w14:paraId="1036232D" w14:textId="77777777" w:rsidR="00E316F2" w:rsidRDefault="00E316F2" w:rsidP="00CE0C05">
      <w:pPr>
        <w:spacing w:after="131"/>
        <w:ind w:left="0" w:firstLine="0"/>
      </w:pPr>
    </w:p>
    <w:p w14:paraId="25C4FC85" w14:textId="77777777" w:rsidR="00E316F2" w:rsidRDefault="00E316F2" w:rsidP="00CE0C05">
      <w:pPr>
        <w:spacing w:after="131"/>
        <w:ind w:left="0" w:firstLine="0"/>
      </w:pPr>
    </w:p>
    <w:p w14:paraId="6C15C1EB" w14:textId="77777777" w:rsidR="00E316F2" w:rsidRDefault="00E316F2" w:rsidP="00E316F2">
      <w:pPr>
        <w:spacing w:after="35" w:line="259" w:lineRule="auto"/>
        <w:ind w:left="-1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FF216B0" wp14:editId="555D09B2">
                <wp:extent cx="2039620" cy="6350"/>
                <wp:effectExtent l="0" t="0" r="0" b="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747" cy="6096"/>
                        </a:xfrm>
                      </wpg:grpSpPr>
                      <wps:wsp>
                        <wps:cNvPr id="3" name="Shape 803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3F687" id="Grupa 2" o:spid="_x0000_s1026" style="width:160.6pt;height:.5pt;mso-position-horizontal-relative:char;mso-position-vertical-relative:line" coordsize="203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">
                <v:shape id="Shape 803" o:spid="_x0000_s1027" style="position:absolute;width:20397;height:0;visibility:visible;mso-wrap-style:square;v-text-anchor:top" coordsize="2039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" path="m,l2039747,e" filled="f" strokeweight=".48pt">
                  <v:path arrowok="t" textboxrect="0,0,2039747,0"/>
                </v:shape>
                <w10:anchorlock/>
              </v:group>
            </w:pict>
          </mc:Fallback>
        </mc:AlternateContent>
      </w:r>
    </w:p>
    <w:p w14:paraId="19BD5853" w14:textId="2A7B35C3" w:rsidR="00E316F2" w:rsidRDefault="00E316F2" w:rsidP="00E316F2">
      <w:pPr>
        <w:spacing w:after="161" w:line="259" w:lineRule="auto"/>
        <w:ind w:left="-5" w:hanging="10"/>
        <w:jc w:val="left"/>
      </w:pPr>
      <w:r>
        <w:rPr>
          <w:sz w:val="16"/>
        </w:rPr>
        <w:t>Podpis Pożyczkodawcy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E61E186" w14:textId="77777777" w:rsidR="00E316F2" w:rsidRDefault="00E316F2" w:rsidP="00CE0C05">
      <w:pPr>
        <w:spacing w:after="131"/>
        <w:ind w:left="0" w:firstLine="0"/>
      </w:pPr>
    </w:p>
    <w:p w14:paraId="209CB891" w14:textId="60A96A5A" w:rsidR="00CE0C05" w:rsidRDefault="00CE0C05" w:rsidP="00CE0C05">
      <w:pPr>
        <w:spacing w:after="131"/>
        <w:ind w:left="0" w:firstLine="0"/>
      </w:pPr>
      <w:r>
        <w:t xml:space="preserve">Oświadczam, iż zapoznałem się z treścią niniejszego dokumentu: </w:t>
      </w:r>
    </w:p>
    <w:p w14:paraId="376152AA" w14:textId="77777777" w:rsidR="00CE0C05" w:rsidRDefault="00CE0C05" w:rsidP="00CE0C05">
      <w:pPr>
        <w:spacing w:after="0" w:line="417" w:lineRule="auto"/>
        <w:ind w:left="0" w:right="9453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F4047F" w14:textId="77777777" w:rsidR="00E316F2" w:rsidRDefault="00E316F2" w:rsidP="00CE0C05">
      <w:pPr>
        <w:spacing w:after="35" w:line="259" w:lineRule="auto"/>
        <w:ind w:left="-108" w:firstLine="0"/>
        <w:jc w:val="left"/>
      </w:pPr>
    </w:p>
    <w:p w14:paraId="2BAD223E" w14:textId="11EB038D" w:rsidR="00CE0C05" w:rsidRDefault="00CE0C05" w:rsidP="00CE0C05">
      <w:pPr>
        <w:spacing w:after="35" w:line="259" w:lineRule="auto"/>
        <w:ind w:left="-108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B17F105" wp14:editId="334AC5C4">
                <wp:extent cx="2039620" cy="6350"/>
                <wp:effectExtent l="0" t="0" r="0" b="0"/>
                <wp:docPr id="3877" name="Grupa 3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9620" cy="6350"/>
                          <a:chOff x="0" y="0"/>
                          <a:chExt cx="2039747" cy="6096"/>
                        </a:xfrm>
                      </wpg:grpSpPr>
                      <wps:wsp>
                        <wps:cNvPr id="803" name="Shape 803"/>
                        <wps:cNvSpPr/>
                        <wps:spPr>
                          <a:xfrm>
                            <a:off x="0" y="0"/>
                            <a:ext cx="20397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747">
                                <a:moveTo>
                                  <a:pt x="0" y="0"/>
                                </a:moveTo>
                                <a:lnTo>
                                  <a:pt x="2039747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custDash>
                              <a:ds d="48000" sp="48000"/>
                            </a:custDash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36E407" id="Grupa 3877" o:spid="_x0000_s1026" style="width:160.6pt;height:.5pt;mso-position-horizontal-relative:char;mso-position-vertical-relative:line" coordsize="2039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">
                <v:shape id="Shape 803" o:spid="_x0000_s1027" style="position:absolute;width:20397;height:0;visibility:visible;mso-wrap-style:square;v-text-anchor:top" coordsize="20397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" path="m,l2039747,e" filled="f" strokeweight=".48pt">
                  <v:path arrowok="t" textboxrect="0,0,2039747,0"/>
                </v:shape>
                <w10:anchorlock/>
              </v:group>
            </w:pict>
          </mc:Fallback>
        </mc:AlternateContent>
      </w:r>
    </w:p>
    <w:p w14:paraId="2C07803D" w14:textId="77777777" w:rsidR="00CE0C05" w:rsidRDefault="00CE0C05" w:rsidP="00CE0C05">
      <w:pPr>
        <w:spacing w:after="161" w:line="259" w:lineRule="auto"/>
        <w:ind w:left="-5" w:hanging="10"/>
        <w:jc w:val="left"/>
      </w:pPr>
      <w:r>
        <w:rPr>
          <w:sz w:val="16"/>
        </w:rPr>
        <w:t>Podpis Pożyczkobiorcy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6CF643A" w14:textId="77777777" w:rsidR="00CE0C05" w:rsidRDefault="00CE0C05" w:rsidP="00CE0C05">
      <w:pPr>
        <w:spacing w:after="0" w:line="259" w:lineRule="auto"/>
        <w:ind w:left="0" w:firstLine="0"/>
        <w:jc w:val="left"/>
      </w:pPr>
      <w:r>
        <w:t xml:space="preserve"> </w:t>
      </w:r>
    </w:p>
    <w:p w14:paraId="12C3C91B" w14:textId="77777777" w:rsidR="00CE0C05" w:rsidRPr="00D315FB" w:rsidRDefault="00CE0C05" w:rsidP="00922983">
      <w:pPr>
        <w:tabs>
          <w:tab w:val="left" w:pos="142"/>
        </w:tabs>
      </w:pPr>
    </w:p>
    <w:sectPr w:rsidR="00CE0C05" w:rsidRPr="00D31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EB53" w14:textId="77777777" w:rsidR="00272EB9" w:rsidRDefault="00272EB9" w:rsidP="00A07E51">
      <w:pPr>
        <w:spacing w:after="0" w:line="240" w:lineRule="auto"/>
      </w:pPr>
      <w:r>
        <w:separator/>
      </w:r>
    </w:p>
  </w:endnote>
  <w:endnote w:type="continuationSeparator" w:id="0">
    <w:p w14:paraId="62FD4835" w14:textId="77777777" w:rsidR="00272EB9" w:rsidRDefault="00272EB9" w:rsidP="00A0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13963" w14:textId="77777777" w:rsidR="008506FC" w:rsidRDefault="008506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2F829" w14:textId="6E75624B" w:rsidR="00D315FB" w:rsidRDefault="00D315FB">
    <w:pPr>
      <w:pStyle w:val="Stopka"/>
    </w:pPr>
    <w:r>
      <w:rPr>
        <w:noProof/>
      </w:rPr>
      <w:drawing>
        <wp:inline distT="0" distB="0" distL="0" distR="0" wp14:anchorId="61508873" wp14:editId="6D3A3E50">
          <wp:extent cx="571881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FCC60" w14:textId="77777777" w:rsidR="008506FC" w:rsidRDefault="00850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DC95B" w14:textId="77777777" w:rsidR="00272EB9" w:rsidRDefault="00272EB9" w:rsidP="00A07E51">
      <w:pPr>
        <w:spacing w:after="0" w:line="240" w:lineRule="auto"/>
      </w:pPr>
      <w:r>
        <w:separator/>
      </w:r>
    </w:p>
  </w:footnote>
  <w:footnote w:type="continuationSeparator" w:id="0">
    <w:p w14:paraId="30CE00DE" w14:textId="77777777" w:rsidR="00272EB9" w:rsidRDefault="00272EB9" w:rsidP="00A0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406DA" w14:textId="77777777" w:rsidR="008506FC" w:rsidRDefault="008506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92095" w14:textId="4337FFF6" w:rsidR="0029206B" w:rsidRDefault="0029206B" w:rsidP="005D790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3B2D85" wp14:editId="16CD952C">
          <wp:simplePos x="0" y="0"/>
          <wp:positionH relativeFrom="column">
            <wp:posOffset>110857</wp:posOffset>
          </wp:positionH>
          <wp:positionV relativeFrom="paragraph">
            <wp:posOffset>-401</wp:posOffset>
          </wp:positionV>
          <wp:extent cx="5662800" cy="35280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2800" cy="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6D6F" w14:textId="77777777" w:rsidR="008506FC" w:rsidRDefault="008506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30B2F"/>
    <w:multiLevelType w:val="hybridMultilevel"/>
    <w:tmpl w:val="5F52315C"/>
    <w:lvl w:ilvl="0" w:tplc="0A84E30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4A06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620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A4C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0D8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66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AA6F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5200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6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F415B7"/>
    <w:multiLevelType w:val="hybridMultilevel"/>
    <w:tmpl w:val="A098596A"/>
    <w:lvl w:ilvl="0" w:tplc="943EAF1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A8CA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8973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A93F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AED262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6BC9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80E3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A4D34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947974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B7E5E"/>
    <w:multiLevelType w:val="hybridMultilevel"/>
    <w:tmpl w:val="64D49A8A"/>
    <w:lvl w:ilvl="0" w:tplc="43CC3D14">
      <w:start w:val="1"/>
      <w:numFmt w:val="upperRoman"/>
      <w:pStyle w:val="Nagwek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02AF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9C6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C1A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7856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88C8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84B5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86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7C72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5E5E49"/>
    <w:multiLevelType w:val="hybridMultilevel"/>
    <w:tmpl w:val="B3F66A24"/>
    <w:lvl w:ilvl="0" w:tplc="6226A732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CAE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1019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925B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B48F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C2A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5CDC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68A4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EB4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75730F"/>
    <w:multiLevelType w:val="hybridMultilevel"/>
    <w:tmpl w:val="D0909CD8"/>
    <w:lvl w:ilvl="0" w:tplc="8084E0B8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663B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C4E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5C19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E03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205C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7C74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3EEE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0E9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536EC0"/>
    <w:multiLevelType w:val="hybridMultilevel"/>
    <w:tmpl w:val="138E8088"/>
    <w:lvl w:ilvl="0" w:tplc="50E240F6">
      <w:start w:val="1"/>
      <w:numFmt w:val="decimal"/>
      <w:lvlText w:val="%1)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B8B78C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61E8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AAA8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A1C8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CDB98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5029DC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6B6B6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EA3D0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E4A"/>
    <w:rsid w:val="00095D4C"/>
    <w:rsid w:val="00272EB9"/>
    <w:rsid w:val="0029206B"/>
    <w:rsid w:val="00336373"/>
    <w:rsid w:val="003579EB"/>
    <w:rsid w:val="003B7537"/>
    <w:rsid w:val="004D341E"/>
    <w:rsid w:val="005D7909"/>
    <w:rsid w:val="00736E4A"/>
    <w:rsid w:val="0083171E"/>
    <w:rsid w:val="00843ACE"/>
    <w:rsid w:val="008506FC"/>
    <w:rsid w:val="00916A6E"/>
    <w:rsid w:val="00922983"/>
    <w:rsid w:val="009E521E"/>
    <w:rsid w:val="00A028BE"/>
    <w:rsid w:val="00A07E51"/>
    <w:rsid w:val="00CE0C05"/>
    <w:rsid w:val="00D309AF"/>
    <w:rsid w:val="00D315FB"/>
    <w:rsid w:val="00DF4F91"/>
    <w:rsid w:val="00E3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724150"/>
  <w15:chartTrackingRefBased/>
  <w15:docId w15:val="{9DFD4B70-DFA4-4A30-AAAC-DE712B46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C05"/>
    <w:pPr>
      <w:spacing w:after="162" w:line="268" w:lineRule="auto"/>
      <w:ind w:left="437" w:hanging="437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0C05"/>
    <w:pPr>
      <w:keepNext/>
      <w:keepLines/>
      <w:numPr>
        <w:numId w:val="6"/>
      </w:numPr>
      <w:spacing w:after="164" w:line="267" w:lineRule="auto"/>
      <w:ind w:left="10" w:right="3" w:hanging="10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E51"/>
  </w:style>
  <w:style w:type="paragraph" w:styleId="Stopka">
    <w:name w:val="footer"/>
    <w:basedOn w:val="Normalny"/>
    <w:link w:val="StopkaZnak"/>
    <w:uiPriority w:val="99"/>
    <w:unhideWhenUsed/>
    <w:rsid w:val="00A0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E51"/>
  </w:style>
  <w:style w:type="character" w:customStyle="1" w:styleId="Nagwek1Znak">
    <w:name w:val="Nagłówek 1 Znak"/>
    <w:basedOn w:val="Domylnaczcionkaakapitu"/>
    <w:link w:val="Nagwek1"/>
    <w:uiPriority w:val="9"/>
    <w:rsid w:val="00CE0C05"/>
    <w:rPr>
      <w:rFonts w:ascii="Calibri" w:eastAsia="Calibri" w:hAnsi="Calibri" w:cs="Calibri"/>
      <w:b/>
      <w:color w:val="000000"/>
      <w:lang w:eastAsia="pl-PL"/>
    </w:rPr>
  </w:style>
  <w:style w:type="paragraph" w:customStyle="1" w:styleId="Default">
    <w:name w:val="Default"/>
    <w:rsid w:val="00E31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1438</Words>
  <Characters>8630</Characters>
  <Application>Microsoft Office Word</Application>
  <DocSecurity>4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Emilia</cp:lastModifiedBy>
  <cp:revision>2</cp:revision>
  <dcterms:created xsi:type="dcterms:W3CDTF">2020-06-15T08:41:00Z</dcterms:created>
  <dcterms:modified xsi:type="dcterms:W3CDTF">2020-06-15T08:41:00Z</dcterms:modified>
</cp:coreProperties>
</file>